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E33" w:rsidRPr="00C432BE" w:rsidRDefault="00674E33" w:rsidP="00C432BE">
      <w:pPr>
        <w:autoSpaceDE w:val="0"/>
        <w:autoSpaceDN w:val="0"/>
        <w:adjustRightInd w:val="0"/>
        <w:spacing w:before="120" w:after="120"/>
        <w:rPr>
          <w:rFonts w:ascii="HandelGothicBT-Regular" w:hAnsi="HandelGothicBT-Regular" w:cs="HandelGothicBT-Regular"/>
          <w:sz w:val="27"/>
          <w:szCs w:val="29"/>
        </w:rPr>
      </w:pPr>
      <w:r w:rsidRPr="00C432BE">
        <w:rPr>
          <w:rFonts w:ascii="HandelGothicBT-Regular" w:hAnsi="HandelGothicBT-Regular" w:cs="HandelGothicBT-Regular"/>
          <w:sz w:val="39"/>
          <w:szCs w:val="41"/>
        </w:rPr>
        <w:t>Loti HEAT</w:t>
      </w:r>
      <w:bookmarkStart w:id="0" w:name="_GoBack"/>
      <w:bookmarkEnd w:id="0"/>
      <w:r w:rsidR="00C432BE">
        <w:rPr>
          <w:rFonts w:ascii="HandelGothicBT-Regular" w:hAnsi="HandelGothicBT-Regular" w:cs="HandelGothicBT-Regular"/>
          <w:sz w:val="39"/>
          <w:szCs w:val="41"/>
        </w:rPr>
        <w:t xml:space="preserve"> </w:t>
      </w:r>
      <w:r w:rsidRPr="00C432BE">
        <w:rPr>
          <w:rFonts w:ascii="HandelGothicBT-Regular" w:hAnsi="HandelGothicBT-Regular" w:cs="HandelGothicBT-Regular"/>
          <w:sz w:val="39"/>
          <w:szCs w:val="41"/>
        </w:rPr>
        <w:t>G</w:t>
      </w:r>
      <w:r w:rsidRPr="00C432BE">
        <w:rPr>
          <w:rFonts w:ascii="HandelGothicBT-Regular" w:hAnsi="HandelGothicBT-Regular" w:cs="HandelGothicBT-Regular"/>
          <w:sz w:val="27"/>
          <w:szCs w:val="29"/>
        </w:rPr>
        <w:t>oals</w:t>
      </w:r>
      <w:r w:rsidRPr="00C432BE">
        <w:rPr>
          <w:rFonts w:ascii="HandelGothicBT-Regular" w:hAnsi="HandelGothicBT-Regular" w:cs="HandelGothicBT-Regular"/>
          <w:sz w:val="39"/>
          <w:szCs w:val="41"/>
        </w:rPr>
        <w:t>, O</w:t>
      </w:r>
      <w:r w:rsidRPr="00C432BE">
        <w:rPr>
          <w:rFonts w:ascii="HandelGothicBT-Regular" w:hAnsi="HandelGothicBT-Regular" w:cs="HandelGothicBT-Regular"/>
          <w:sz w:val="27"/>
          <w:szCs w:val="29"/>
        </w:rPr>
        <w:t>bjectives</w:t>
      </w:r>
      <w:r w:rsidRPr="00C432BE">
        <w:rPr>
          <w:rFonts w:ascii="HandelGothicBT-Regular" w:hAnsi="HandelGothicBT-Regular" w:cs="HandelGothicBT-Regular"/>
          <w:sz w:val="39"/>
          <w:szCs w:val="41"/>
        </w:rPr>
        <w:t>, &amp; S</w:t>
      </w:r>
      <w:r w:rsidRPr="00C432BE">
        <w:rPr>
          <w:rFonts w:ascii="HandelGothicBT-Regular" w:hAnsi="HandelGothicBT-Regular" w:cs="HandelGothicBT-Regular"/>
          <w:sz w:val="27"/>
          <w:szCs w:val="29"/>
        </w:rPr>
        <w:t xml:space="preserve">uggested </w:t>
      </w:r>
      <w:r w:rsidRPr="00C432BE">
        <w:rPr>
          <w:rFonts w:ascii="HandelGothicBT-Regular" w:hAnsi="HandelGothicBT-Regular" w:cs="HandelGothicBT-Regular"/>
          <w:sz w:val="39"/>
          <w:szCs w:val="41"/>
        </w:rPr>
        <w:t>R</w:t>
      </w:r>
      <w:r w:rsidRPr="00C432BE">
        <w:rPr>
          <w:rFonts w:ascii="HandelGothicBT-Regular" w:hAnsi="HandelGothicBT-Regular" w:cs="HandelGothicBT-Regular"/>
          <w:sz w:val="27"/>
          <w:szCs w:val="29"/>
        </w:rPr>
        <w:t>esources</w:t>
      </w:r>
    </w:p>
    <w:p w:rsidR="00674E33" w:rsidRPr="00C432BE" w:rsidRDefault="00674E33" w:rsidP="00C432BE">
      <w:pPr>
        <w:autoSpaceDE w:val="0"/>
        <w:autoSpaceDN w:val="0"/>
        <w:adjustRightInd w:val="0"/>
        <w:spacing w:before="120" w:after="120"/>
        <w:rPr>
          <w:rFonts w:ascii="ArialMT" w:hAnsi="ArialMT" w:cs="ArialMT"/>
          <w:sz w:val="22"/>
        </w:rPr>
      </w:pPr>
      <w:r w:rsidRPr="00C432BE">
        <w:rPr>
          <w:rFonts w:ascii="ArialMT" w:hAnsi="ArialMT" w:cs="ArialMT"/>
          <w:sz w:val="22"/>
        </w:rPr>
        <w:t>This institute is designed to help you acquire the knowledge and skills necessary to transform your school system into a 21st Century or Digital-age learning environment based on the skills, concepts, and themes articulated by the Partnership for the 21</w:t>
      </w:r>
      <w:r w:rsidRPr="00C432BE">
        <w:rPr>
          <w:rFonts w:ascii="ArialMT" w:hAnsi="ArialMT" w:cs="ArialMT"/>
          <w:sz w:val="22"/>
          <w:vertAlign w:val="superscript"/>
        </w:rPr>
        <w:t>st</w:t>
      </w:r>
      <w:r w:rsidRPr="00C432BE">
        <w:rPr>
          <w:rFonts w:ascii="ArialMT" w:hAnsi="ArialMT" w:cs="ArialMT"/>
          <w:sz w:val="22"/>
        </w:rPr>
        <w:t xml:space="preserve"> Century. Digital-age learning focuses on the tenets of H.E.A.T. (</w:t>
      </w:r>
      <w:r w:rsidRPr="00C432BE">
        <w:rPr>
          <w:rFonts w:ascii="ArialMT" w:hAnsi="ArialMT" w:cs="ArialMT"/>
          <w:b/>
          <w:sz w:val="22"/>
          <w:u w:val="single"/>
        </w:rPr>
        <w:t>Higher order thinking processes, Engaged learning, Authenticity, and Technology use</w:t>
      </w:r>
      <w:r w:rsidRPr="00C432BE">
        <w:rPr>
          <w:rFonts w:ascii="ArialMT" w:hAnsi="ArialMT" w:cs="ArialMT"/>
          <w:sz w:val="22"/>
        </w:rPr>
        <w:t>) to support inquiry based learning, authentic problem-solving, and standards-driven instruction.</w:t>
      </w:r>
    </w:p>
    <w:p w:rsidR="00674E33" w:rsidRPr="00C432BE" w:rsidRDefault="00674E33" w:rsidP="00C432BE">
      <w:pPr>
        <w:autoSpaceDE w:val="0"/>
        <w:autoSpaceDN w:val="0"/>
        <w:adjustRightInd w:val="0"/>
        <w:spacing w:before="120" w:after="120"/>
        <w:rPr>
          <w:rFonts w:ascii="HandelGothicBT-Regular" w:hAnsi="HandelGothicBT-Regular" w:cs="HandelGothicBT-Regular"/>
          <w:sz w:val="21"/>
          <w:szCs w:val="23"/>
        </w:rPr>
      </w:pPr>
      <w:r w:rsidRPr="00C432BE">
        <w:rPr>
          <w:rFonts w:ascii="HandelGothicBT-Regular" w:hAnsi="HandelGothicBT-Regular" w:cs="HandelGothicBT-Regular"/>
          <w:sz w:val="30"/>
          <w:szCs w:val="32"/>
        </w:rPr>
        <w:t>G</w:t>
      </w:r>
      <w:r w:rsidRPr="00C432BE">
        <w:rPr>
          <w:rFonts w:ascii="HandelGothicBT-Regular" w:hAnsi="HandelGothicBT-Regular" w:cs="HandelGothicBT-Regular"/>
          <w:sz w:val="21"/>
          <w:szCs w:val="23"/>
        </w:rPr>
        <w:t>oals</w:t>
      </w:r>
    </w:p>
    <w:p w:rsidR="00674E33" w:rsidRPr="00C432BE" w:rsidRDefault="00674E33" w:rsidP="00C432BE">
      <w:pPr>
        <w:autoSpaceDE w:val="0"/>
        <w:autoSpaceDN w:val="0"/>
        <w:adjustRightInd w:val="0"/>
        <w:spacing w:before="120" w:after="120"/>
        <w:rPr>
          <w:rFonts w:ascii="ArialMT" w:hAnsi="ArialMT" w:cs="ArialMT"/>
          <w:sz w:val="22"/>
        </w:rPr>
      </w:pPr>
      <w:r w:rsidRPr="00C432BE">
        <w:rPr>
          <w:rFonts w:ascii="ArialMT" w:hAnsi="ArialMT" w:cs="ArialMT"/>
          <w:sz w:val="22"/>
        </w:rPr>
        <w:t>Four overall goals of the institute are: (1) to increase student academic growth by</w:t>
      </w:r>
    </w:p>
    <w:p w:rsidR="00674E33" w:rsidRPr="00C432BE" w:rsidRDefault="00674E33" w:rsidP="00C432BE">
      <w:pPr>
        <w:autoSpaceDE w:val="0"/>
        <w:autoSpaceDN w:val="0"/>
        <w:adjustRightInd w:val="0"/>
        <w:spacing w:before="120" w:after="120"/>
        <w:rPr>
          <w:rFonts w:ascii="ArialMT" w:hAnsi="ArialMT" w:cs="ArialMT"/>
          <w:sz w:val="22"/>
        </w:rPr>
      </w:pPr>
      <w:r w:rsidRPr="00C432BE">
        <w:rPr>
          <w:rFonts w:ascii="ArialMT" w:hAnsi="ArialMT" w:cs="ArialMT"/>
          <w:sz w:val="22"/>
        </w:rPr>
        <w:t>focusing on Digital-age instruction and assessment strategies within a standards driven curriculum, (2) to promote higher levels of teacher innovation modeled at the operational curriculum level, (3) to provide a data-driven approach to professional development planning at the building/district levels, and (4) to implement a model of continuous improvement system-wide.</w:t>
      </w:r>
    </w:p>
    <w:p w:rsidR="00674E33" w:rsidRPr="00C432BE" w:rsidRDefault="00674E33" w:rsidP="00C432BE">
      <w:pPr>
        <w:autoSpaceDE w:val="0"/>
        <w:autoSpaceDN w:val="0"/>
        <w:adjustRightInd w:val="0"/>
        <w:spacing w:before="120" w:after="120"/>
        <w:rPr>
          <w:rFonts w:ascii="HandelGothicBT-Regular" w:hAnsi="HandelGothicBT-Regular" w:cs="HandelGothicBT-Regular"/>
          <w:sz w:val="21"/>
          <w:szCs w:val="23"/>
        </w:rPr>
      </w:pPr>
      <w:r w:rsidRPr="00C432BE">
        <w:rPr>
          <w:rFonts w:ascii="HandelGothicBT-Regular" w:hAnsi="HandelGothicBT-Regular" w:cs="HandelGothicBT-Regular"/>
          <w:sz w:val="30"/>
          <w:szCs w:val="32"/>
        </w:rPr>
        <w:t>O</w:t>
      </w:r>
      <w:r w:rsidRPr="00C432BE">
        <w:rPr>
          <w:rFonts w:ascii="HandelGothicBT-Regular" w:hAnsi="HandelGothicBT-Regular" w:cs="HandelGothicBT-Regular"/>
          <w:sz w:val="21"/>
          <w:szCs w:val="23"/>
        </w:rPr>
        <w:t>bjectives</w:t>
      </w:r>
    </w:p>
    <w:p w:rsidR="00674E33" w:rsidRPr="00C432BE" w:rsidRDefault="00674E33" w:rsidP="00C432BE">
      <w:pPr>
        <w:autoSpaceDE w:val="0"/>
        <w:autoSpaceDN w:val="0"/>
        <w:adjustRightInd w:val="0"/>
        <w:spacing w:before="240" w:after="120"/>
        <w:rPr>
          <w:rFonts w:ascii="ArialMT" w:hAnsi="ArialMT" w:cs="ArialMT"/>
          <w:sz w:val="22"/>
        </w:rPr>
      </w:pPr>
      <w:r w:rsidRPr="00C432BE">
        <w:rPr>
          <w:rFonts w:ascii="ArialMT" w:hAnsi="ArialMT" w:cs="ArialMT"/>
          <w:sz w:val="22"/>
        </w:rPr>
        <w:t>This institute will assist you in developing the following objectives:</w:t>
      </w:r>
    </w:p>
    <w:p w:rsidR="00674E33" w:rsidRDefault="00674E33" w:rsidP="00C432B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240" w:after="240"/>
        <w:rPr>
          <w:rFonts w:ascii="ArialMT" w:hAnsi="ArialMT" w:cs="ArialMT"/>
          <w:sz w:val="22"/>
        </w:rPr>
      </w:pPr>
      <w:r w:rsidRPr="00C432BE">
        <w:rPr>
          <w:rFonts w:ascii="ArialMT" w:hAnsi="ArialMT" w:cs="ArialMT"/>
          <w:sz w:val="22"/>
        </w:rPr>
        <w:t>Ability to conduct clinical observations of classroom practices based on the Level</w:t>
      </w:r>
      <w:r w:rsidR="00C432BE">
        <w:rPr>
          <w:rFonts w:ascii="ArialMT" w:hAnsi="ArialMT" w:cs="ArialMT"/>
          <w:sz w:val="22"/>
        </w:rPr>
        <w:t xml:space="preserve"> </w:t>
      </w:r>
      <w:r w:rsidRPr="00C432BE">
        <w:rPr>
          <w:rFonts w:ascii="ArialMT" w:hAnsi="ArialMT" w:cs="ArialMT"/>
          <w:sz w:val="22"/>
        </w:rPr>
        <w:t>of Teacher Innovation (</w:t>
      </w:r>
      <w:proofErr w:type="spellStart"/>
      <w:r w:rsidRPr="00C432BE">
        <w:rPr>
          <w:rFonts w:ascii="ArialMT" w:hAnsi="ArialMT" w:cs="ArialMT"/>
          <w:sz w:val="22"/>
        </w:rPr>
        <w:t>LoTi</w:t>
      </w:r>
      <w:proofErr w:type="spellEnd"/>
      <w:r w:rsidRPr="00C432BE">
        <w:rPr>
          <w:rFonts w:ascii="ArialMT" w:hAnsi="ArialMT" w:cs="ArialMT"/>
          <w:sz w:val="22"/>
        </w:rPr>
        <w:t>) Framework and the principles of H.E.A.T.</w:t>
      </w:r>
    </w:p>
    <w:p w:rsidR="00C432BE" w:rsidRPr="00C432BE" w:rsidRDefault="00C432BE" w:rsidP="00C432BE">
      <w:pPr>
        <w:pStyle w:val="ListParagraph"/>
        <w:autoSpaceDE w:val="0"/>
        <w:autoSpaceDN w:val="0"/>
        <w:adjustRightInd w:val="0"/>
        <w:spacing w:before="240" w:after="240"/>
        <w:rPr>
          <w:rFonts w:ascii="ArialMT" w:hAnsi="ArialMT" w:cs="ArialMT"/>
          <w:sz w:val="22"/>
        </w:rPr>
      </w:pPr>
    </w:p>
    <w:p w:rsidR="00674E33" w:rsidRDefault="00674E33" w:rsidP="00C432B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240" w:after="240"/>
        <w:rPr>
          <w:rFonts w:ascii="ArialMT" w:hAnsi="ArialMT" w:cs="ArialMT"/>
          <w:sz w:val="22"/>
        </w:rPr>
      </w:pPr>
      <w:r w:rsidRPr="00C432BE">
        <w:rPr>
          <w:rFonts w:ascii="ArialMT" w:hAnsi="ArialMT" w:cs="ArialMT"/>
          <w:sz w:val="22"/>
        </w:rPr>
        <w:t>Ability to diagnose a school system’s “teaching innovation” profile and prescribe</w:t>
      </w:r>
      <w:r w:rsidR="00C432BE">
        <w:rPr>
          <w:rFonts w:ascii="ArialMT" w:hAnsi="ArialMT" w:cs="ArialMT"/>
          <w:sz w:val="22"/>
        </w:rPr>
        <w:t xml:space="preserve"> </w:t>
      </w:r>
      <w:r w:rsidRPr="00C432BE">
        <w:rPr>
          <w:rFonts w:ascii="ArialMT" w:hAnsi="ArialMT" w:cs="ArialMT"/>
          <w:sz w:val="22"/>
        </w:rPr>
        <w:t>appropriate professional development interventions.</w:t>
      </w:r>
    </w:p>
    <w:p w:rsidR="00C432BE" w:rsidRPr="00C432BE" w:rsidRDefault="00C432BE" w:rsidP="00C432BE">
      <w:pPr>
        <w:pStyle w:val="ListParagraph"/>
        <w:rPr>
          <w:rFonts w:ascii="ArialMT" w:hAnsi="ArialMT" w:cs="ArialMT"/>
          <w:sz w:val="22"/>
        </w:rPr>
      </w:pPr>
    </w:p>
    <w:p w:rsidR="00C432BE" w:rsidRPr="00C432BE" w:rsidRDefault="00C432BE" w:rsidP="00C432BE">
      <w:pPr>
        <w:pStyle w:val="ListParagraph"/>
        <w:autoSpaceDE w:val="0"/>
        <w:autoSpaceDN w:val="0"/>
        <w:adjustRightInd w:val="0"/>
        <w:spacing w:before="240" w:after="240"/>
        <w:rPr>
          <w:rFonts w:ascii="ArialMT" w:hAnsi="ArialMT" w:cs="ArialMT"/>
          <w:sz w:val="22"/>
        </w:rPr>
      </w:pPr>
    </w:p>
    <w:p w:rsidR="00674E33" w:rsidRDefault="00674E33" w:rsidP="00C432B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240" w:after="240"/>
        <w:rPr>
          <w:rFonts w:ascii="ArialMT" w:hAnsi="ArialMT" w:cs="ArialMT"/>
          <w:sz w:val="22"/>
        </w:rPr>
      </w:pPr>
      <w:r w:rsidRPr="00C432BE">
        <w:rPr>
          <w:rFonts w:ascii="ArialMT" w:hAnsi="ArialMT" w:cs="ArialMT"/>
          <w:sz w:val="22"/>
        </w:rPr>
        <w:t>Ability to develop a system-wide action plan targeting improved student academic</w:t>
      </w:r>
      <w:r w:rsidR="00C432BE">
        <w:rPr>
          <w:rFonts w:ascii="ArialMT" w:hAnsi="ArialMT" w:cs="ArialMT"/>
          <w:sz w:val="22"/>
        </w:rPr>
        <w:t xml:space="preserve"> </w:t>
      </w:r>
      <w:r w:rsidRPr="00C432BE">
        <w:rPr>
          <w:rFonts w:ascii="ArialMT" w:hAnsi="ArialMT" w:cs="ArialMT"/>
          <w:sz w:val="22"/>
        </w:rPr>
        <w:t>progress based on the principles of Digital-age teaching and learning.</w:t>
      </w:r>
    </w:p>
    <w:p w:rsidR="00C432BE" w:rsidRPr="00C432BE" w:rsidRDefault="00C432BE" w:rsidP="00C432BE">
      <w:pPr>
        <w:pStyle w:val="ListParagraph"/>
        <w:autoSpaceDE w:val="0"/>
        <w:autoSpaceDN w:val="0"/>
        <w:adjustRightInd w:val="0"/>
        <w:spacing w:before="240" w:after="240"/>
        <w:rPr>
          <w:rFonts w:ascii="ArialMT" w:hAnsi="ArialMT" w:cs="ArialMT"/>
          <w:sz w:val="22"/>
        </w:rPr>
      </w:pPr>
    </w:p>
    <w:p w:rsidR="00674E33" w:rsidRPr="00C432BE" w:rsidRDefault="00674E33" w:rsidP="00C432B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240" w:after="240"/>
        <w:rPr>
          <w:rFonts w:ascii="ArialMT" w:hAnsi="ArialMT" w:cs="ArialMT"/>
          <w:sz w:val="22"/>
        </w:rPr>
      </w:pPr>
      <w:r w:rsidRPr="00C432BE">
        <w:rPr>
          <w:rFonts w:ascii="ArialMT" w:hAnsi="ArialMT" w:cs="ArialMT"/>
          <w:sz w:val="22"/>
        </w:rPr>
        <w:t>Ability to implement the Five-Step Classroom Walkthrough with H.E.A.T. Model</w:t>
      </w:r>
    </w:p>
    <w:p w:rsidR="00C432BE" w:rsidRDefault="00C432BE" w:rsidP="00674E33">
      <w:pPr>
        <w:autoSpaceDE w:val="0"/>
        <w:autoSpaceDN w:val="0"/>
        <w:adjustRightInd w:val="0"/>
        <w:rPr>
          <w:rFonts w:ascii="HandelGothicBT-Regular" w:hAnsi="HandelGothicBT-Regular" w:cs="HandelGothicBT-Regular"/>
          <w:sz w:val="30"/>
          <w:szCs w:val="32"/>
        </w:rPr>
      </w:pPr>
    </w:p>
    <w:p w:rsidR="00674E33" w:rsidRPr="00C432BE" w:rsidRDefault="00674E33" w:rsidP="00674E33">
      <w:pPr>
        <w:autoSpaceDE w:val="0"/>
        <w:autoSpaceDN w:val="0"/>
        <w:adjustRightInd w:val="0"/>
        <w:rPr>
          <w:rFonts w:ascii="HandelGothicBT-Regular" w:hAnsi="HandelGothicBT-Regular" w:cs="HandelGothicBT-Regular"/>
          <w:sz w:val="30"/>
          <w:szCs w:val="32"/>
        </w:rPr>
      </w:pPr>
      <w:r w:rsidRPr="00C432BE">
        <w:rPr>
          <w:rFonts w:ascii="HandelGothicBT-Regular" w:hAnsi="HandelGothicBT-Regular" w:cs="HandelGothicBT-Regular"/>
          <w:sz w:val="30"/>
          <w:szCs w:val="32"/>
        </w:rPr>
        <w:t>S</w:t>
      </w:r>
      <w:r w:rsidRPr="00C432BE">
        <w:rPr>
          <w:rFonts w:ascii="HandelGothicBT-Regular" w:hAnsi="HandelGothicBT-Regular" w:cs="HandelGothicBT-Regular"/>
          <w:sz w:val="21"/>
          <w:szCs w:val="23"/>
        </w:rPr>
        <w:t xml:space="preserve">uggested </w:t>
      </w:r>
      <w:r w:rsidRPr="00C432BE">
        <w:rPr>
          <w:rFonts w:ascii="HandelGothicBT-Regular" w:hAnsi="HandelGothicBT-Regular" w:cs="HandelGothicBT-Regular"/>
          <w:sz w:val="30"/>
          <w:szCs w:val="32"/>
        </w:rPr>
        <w:t>R</w:t>
      </w:r>
      <w:r w:rsidRPr="00C432BE">
        <w:rPr>
          <w:rFonts w:ascii="HandelGothicBT-Regular" w:hAnsi="HandelGothicBT-Regular" w:cs="HandelGothicBT-Regular"/>
          <w:sz w:val="21"/>
          <w:szCs w:val="23"/>
        </w:rPr>
        <w:t xml:space="preserve">esource </w:t>
      </w:r>
      <w:r w:rsidRPr="00C432BE">
        <w:rPr>
          <w:rFonts w:ascii="HandelGothicBT-Regular" w:hAnsi="HandelGothicBT-Regular" w:cs="HandelGothicBT-Regular"/>
          <w:sz w:val="30"/>
          <w:szCs w:val="32"/>
        </w:rPr>
        <w:t>M</w:t>
      </w:r>
      <w:r w:rsidRPr="00C432BE">
        <w:rPr>
          <w:rFonts w:ascii="HandelGothicBT-Regular" w:hAnsi="HandelGothicBT-Regular" w:cs="HandelGothicBT-Regular"/>
          <w:sz w:val="21"/>
          <w:szCs w:val="23"/>
        </w:rPr>
        <w:t>aterials</w:t>
      </w:r>
      <w:r w:rsidRPr="00C432BE">
        <w:rPr>
          <w:rFonts w:ascii="HandelGothicBT-Regular" w:hAnsi="HandelGothicBT-Regular" w:cs="HandelGothicBT-Regular"/>
          <w:sz w:val="30"/>
          <w:szCs w:val="32"/>
        </w:rPr>
        <w:t>:</w:t>
      </w:r>
    </w:p>
    <w:p w:rsidR="00674E33" w:rsidRPr="00C432BE" w:rsidRDefault="00674E33" w:rsidP="00674E33">
      <w:pPr>
        <w:autoSpaceDE w:val="0"/>
        <w:autoSpaceDN w:val="0"/>
        <w:adjustRightInd w:val="0"/>
        <w:rPr>
          <w:rFonts w:ascii="Arial-ItalicMT" w:hAnsi="Arial-ItalicMT" w:cs="Arial-ItalicMT"/>
          <w:i/>
          <w:iCs/>
          <w:sz w:val="20"/>
        </w:rPr>
      </w:pPr>
      <w:r w:rsidRPr="00C432BE">
        <w:rPr>
          <w:rFonts w:ascii="ArialMT" w:hAnsi="ArialMT" w:cs="ArialMT"/>
          <w:sz w:val="20"/>
        </w:rPr>
        <w:t xml:space="preserve">• Cherry, D. and Spiegel, J. (2006). </w:t>
      </w:r>
      <w:r w:rsidRPr="00C432BE">
        <w:rPr>
          <w:rFonts w:ascii="Arial-ItalicMT" w:hAnsi="Arial-ItalicMT" w:cs="Arial-ItalicMT"/>
          <w:i/>
          <w:iCs/>
          <w:sz w:val="20"/>
        </w:rPr>
        <w:t>Leadership, myth, &amp; metaphor: Finding</w:t>
      </w:r>
    </w:p>
    <w:p w:rsidR="00674E33" w:rsidRPr="00C432BE" w:rsidRDefault="00674E33" w:rsidP="00674E33">
      <w:pPr>
        <w:autoSpaceDE w:val="0"/>
        <w:autoSpaceDN w:val="0"/>
        <w:adjustRightInd w:val="0"/>
        <w:rPr>
          <w:rFonts w:ascii="ArialMT" w:hAnsi="ArialMT" w:cs="ArialMT"/>
          <w:sz w:val="20"/>
        </w:rPr>
      </w:pPr>
      <w:proofErr w:type="gramStart"/>
      <w:r w:rsidRPr="00C432BE">
        <w:rPr>
          <w:rFonts w:ascii="Arial-ItalicMT" w:hAnsi="Arial-ItalicMT" w:cs="Arial-ItalicMT"/>
          <w:i/>
          <w:iCs/>
          <w:sz w:val="20"/>
        </w:rPr>
        <w:t>common</w:t>
      </w:r>
      <w:proofErr w:type="gramEnd"/>
      <w:r w:rsidRPr="00C432BE">
        <w:rPr>
          <w:rFonts w:ascii="Arial-ItalicMT" w:hAnsi="Arial-ItalicMT" w:cs="Arial-ItalicMT"/>
          <w:i/>
          <w:iCs/>
          <w:sz w:val="20"/>
        </w:rPr>
        <w:t xml:space="preserve"> ground to guide effective school change. </w:t>
      </w:r>
      <w:r w:rsidRPr="00C432BE">
        <w:rPr>
          <w:rFonts w:ascii="ArialMT" w:hAnsi="ArialMT" w:cs="ArialMT"/>
          <w:sz w:val="20"/>
        </w:rPr>
        <w:t>Thousand Oaks, CA: Corwin</w:t>
      </w:r>
    </w:p>
    <w:p w:rsidR="00674E33" w:rsidRPr="00C432BE" w:rsidRDefault="00674E33" w:rsidP="00674E33">
      <w:pPr>
        <w:autoSpaceDE w:val="0"/>
        <w:autoSpaceDN w:val="0"/>
        <w:adjustRightInd w:val="0"/>
        <w:rPr>
          <w:rFonts w:ascii="ArialMT" w:hAnsi="ArialMT" w:cs="ArialMT"/>
          <w:sz w:val="20"/>
        </w:rPr>
      </w:pPr>
      <w:proofErr w:type="gramStart"/>
      <w:r w:rsidRPr="00C432BE">
        <w:rPr>
          <w:rFonts w:ascii="ArialMT" w:hAnsi="ArialMT" w:cs="ArialMT"/>
          <w:sz w:val="20"/>
        </w:rPr>
        <w:t>Press.</w:t>
      </w:r>
      <w:proofErr w:type="gramEnd"/>
    </w:p>
    <w:p w:rsidR="00674E33" w:rsidRPr="00C432BE" w:rsidRDefault="00674E33" w:rsidP="00674E33">
      <w:pPr>
        <w:autoSpaceDE w:val="0"/>
        <w:autoSpaceDN w:val="0"/>
        <w:adjustRightInd w:val="0"/>
        <w:rPr>
          <w:rFonts w:ascii="Arial-ItalicMT" w:hAnsi="Arial-ItalicMT" w:cs="Arial-ItalicMT"/>
          <w:i/>
          <w:iCs/>
          <w:sz w:val="20"/>
        </w:rPr>
      </w:pPr>
      <w:r w:rsidRPr="00C432BE">
        <w:rPr>
          <w:rFonts w:ascii="ArialMT" w:hAnsi="ArialMT" w:cs="ArialMT"/>
          <w:sz w:val="20"/>
        </w:rPr>
        <w:t xml:space="preserve">• Kohl, H. (1995). </w:t>
      </w:r>
      <w:r w:rsidRPr="00C432BE">
        <w:rPr>
          <w:rFonts w:ascii="Arial-ItalicMT" w:hAnsi="Arial-ItalicMT" w:cs="Arial-ItalicMT"/>
          <w:i/>
          <w:iCs/>
          <w:sz w:val="20"/>
        </w:rPr>
        <w:t>“I won’t learn from you”: And other thoughts on creative</w:t>
      </w:r>
    </w:p>
    <w:p w:rsidR="00674E33" w:rsidRPr="00C432BE" w:rsidRDefault="00674E33" w:rsidP="00674E33">
      <w:pPr>
        <w:autoSpaceDE w:val="0"/>
        <w:autoSpaceDN w:val="0"/>
        <w:adjustRightInd w:val="0"/>
        <w:rPr>
          <w:rFonts w:ascii="ArialMT" w:hAnsi="ArialMT" w:cs="ArialMT"/>
          <w:sz w:val="20"/>
        </w:rPr>
      </w:pPr>
      <w:proofErr w:type="gramStart"/>
      <w:r w:rsidRPr="00C432BE">
        <w:rPr>
          <w:rFonts w:ascii="Arial-ItalicMT" w:hAnsi="Arial-ItalicMT" w:cs="Arial-ItalicMT"/>
          <w:i/>
          <w:iCs/>
          <w:sz w:val="20"/>
        </w:rPr>
        <w:t>maladjustment</w:t>
      </w:r>
      <w:proofErr w:type="gramEnd"/>
      <w:r w:rsidRPr="00C432BE">
        <w:rPr>
          <w:rFonts w:ascii="Arial-ItalicMT" w:hAnsi="Arial-ItalicMT" w:cs="Arial-ItalicMT"/>
          <w:i/>
          <w:iCs/>
          <w:sz w:val="20"/>
        </w:rPr>
        <w:t xml:space="preserve">. </w:t>
      </w:r>
      <w:r w:rsidRPr="00C432BE">
        <w:rPr>
          <w:rFonts w:ascii="ArialMT" w:hAnsi="ArialMT" w:cs="ArialMT"/>
          <w:sz w:val="20"/>
        </w:rPr>
        <w:t>New York, NY: New Press.</w:t>
      </w:r>
    </w:p>
    <w:p w:rsidR="00674E33" w:rsidRPr="00C432BE" w:rsidRDefault="00674E33" w:rsidP="00674E33">
      <w:pPr>
        <w:autoSpaceDE w:val="0"/>
        <w:autoSpaceDN w:val="0"/>
        <w:adjustRightInd w:val="0"/>
        <w:rPr>
          <w:rFonts w:ascii="Arial-ItalicMT" w:hAnsi="Arial-ItalicMT" w:cs="Arial-ItalicMT"/>
          <w:i/>
          <w:iCs/>
          <w:sz w:val="20"/>
        </w:rPr>
      </w:pPr>
      <w:r w:rsidRPr="00C432BE">
        <w:rPr>
          <w:rFonts w:ascii="ArialMT" w:hAnsi="ArialMT" w:cs="ArialMT"/>
          <w:sz w:val="20"/>
        </w:rPr>
        <w:t xml:space="preserve">• Lewis, B., </w:t>
      </w:r>
      <w:proofErr w:type="spellStart"/>
      <w:r w:rsidRPr="00C432BE">
        <w:rPr>
          <w:rFonts w:ascii="ArialMT" w:hAnsi="ArialMT" w:cs="ArialMT"/>
          <w:sz w:val="20"/>
        </w:rPr>
        <w:t>Espeland</w:t>
      </w:r>
      <w:proofErr w:type="spellEnd"/>
      <w:r w:rsidRPr="00C432BE">
        <w:rPr>
          <w:rFonts w:ascii="ArialMT" w:hAnsi="ArialMT" w:cs="ArialMT"/>
          <w:sz w:val="20"/>
        </w:rPr>
        <w:t xml:space="preserve">, P., and </w:t>
      </w:r>
      <w:proofErr w:type="spellStart"/>
      <w:r w:rsidRPr="00C432BE">
        <w:rPr>
          <w:rFonts w:ascii="ArialMT" w:hAnsi="ArialMT" w:cs="ArialMT"/>
          <w:sz w:val="20"/>
        </w:rPr>
        <w:t>Pernu</w:t>
      </w:r>
      <w:proofErr w:type="spellEnd"/>
      <w:r w:rsidRPr="00C432BE">
        <w:rPr>
          <w:rFonts w:ascii="ArialMT" w:hAnsi="ArialMT" w:cs="ArialMT"/>
          <w:sz w:val="20"/>
        </w:rPr>
        <w:t xml:space="preserve">, C. (1998). </w:t>
      </w:r>
      <w:r w:rsidRPr="00C432BE">
        <w:rPr>
          <w:rFonts w:ascii="Arial-ItalicMT" w:hAnsi="Arial-ItalicMT" w:cs="Arial-ItalicMT"/>
          <w:i/>
          <w:iCs/>
          <w:sz w:val="20"/>
        </w:rPr>
        <w:t>The Kid’s Guide to Social Action:</w:t>
      </w:r>
    </w:p>
    <w:p w:rsidR="00674E33" w:rsidRPr="00C432BE" w:rsidRDefault="00674E33" w:rsidP="00674E33">
      <w:pPr>
        <w:autoSpaceDE w:val="0"/>
        <w:autoSpaceDN w:val="0"/>
        <w:adjustRightInd w:val="0"/>
        <w:rPr>
          <w:rFonts w:ascii="Arial-ItalicMT" w:hAnsi="Arial-ItalicMT" w:cs="Arial-ItalicMT"/>
          <w:i/>
          <w:iCs/>
          <w:sz w:val="20"/>
        </w:rPr>
      </w:pPr>
      <w:r w:rsidRPr="00C432BE">
        <w:rPr>
          <w:rFonts w:ascii="Arial-ItalicMT" w:hAnsi="Arial-ItalicMT" w:cs="Arial-ItalicMT"/>
          <w:i/>
          <w:iCs/>
          <w:sz w:val="20"/>
        </w:rPr>
        <w:t>How to Solve the Social Problems You Choose – And Turn Creative Thinking into</w:t>
      </w:r>
    </w:p>
    <w:p w:rsidR="00674E33" w:rsidRPr="00C432BE" w:rsidRDefault="00674E33" w:rsidP="00674E33">
      <w:pPr>
        <w:autoSpaceDE w:val="0"/>
        <w:autoSpaceDN w:val="0"/>
        <w:adjustRightInd w:val="0"/>
        <w:rPr>
          <w:rFonts w:ascii="ArialMT" w:hAnsi="ArialMT" w:cs="ArialMT"/>
          <w:sz w:val="20"/>
        </w:rPr>
      </w:pPr>
      <w:proofErr w:type="gramStart"/>
      <w:r w:rsidRPr="00C432BE">
        <w:rPr>
          <w:rFonts w:ascii="Arial-ItalicMT" w:hAnsi="Arial-ItalicMT" w:cs="Arial-ItalicMT"/>
          <w:i/>
          <w:iCs/>
          <w:sz w:val="20"/>
        </w:rPr>
        <w:t>Positive Action.</w:t>
      </w:r>
      <w:proofErr w:type="gramEnd"/>
      <w:r w:rsidRPr="00C432BE">
        <w:rPr>
          <w:rFonts w:ascii="Arial-ItalicMT" w:hAnsi="Arial-ItalicMT" w:cs="Arial-ItalicMT"/>
          <w:i/>
          <w:iCs/>
          <w:sz w:val="20"/>
        </w:rPr>
        <w:t xml:space="preserve"> </w:t>
      </w:r>
      <w:r w:rsidRPr="00C432BE">
        <w:rPr>
          <w:rFonts w:ascii="ArialMT" w:hAnsi="ArialMT" w:cs="ArialMT"/>
          <w:sz w:val="20"/>
        </w:rPr>
        <w:t>Minneapolis, MN: Free Spirit Publishing, Inc.</w:t>
      </w:r>
    </w:p>
    <w:p w:rsidR="00674E33" w:rsidRPr="00C432BE" w:rsidRDefault="00674E33" w:rsidP="00674E33">
      <w:pPr>
        <w:autoSpaceDE w:val="0"/>
        <w:autoSpaceDN w:val="0"/>
        <w:adjustRightInd w:val="0"/>
        <w:rPr>
          <w:rFonts w:ascii="Arial-ItalicMT" w:hAnsi="Arial-ItalicMT" w:cs="Arial-ItalicMT"/>
          <w:i/>
          <w:iCs/>
          <w:sz w:val="20"/>
        </w:rPr>
      </w:pPr>
      <w:r w:rsidRPr="00C432BE">
        <w:rPr>
          <w:rFonts w:ascii="ArialMT" w:hAnsi="ArialMT" w:cs="ArialMT"/>
          <w:sz w:val="20"/>
        </w:rPr>
        <w:t xml:space="preserve">• </w:t>
      </w:r>
      <w:proofErr w:type="spellStart"/>
      <w:r w:rsidRPr="00C432BE">
        <w:rPr>
          <w:rFonts w:ascii="ArialMT" w:hAnsi="ArialMT" w:cs="ArialMT"/>
          <w:sz w:val="20"/>
        </w:rPr>
        <w:t>Marzano</w:t>
      </w:r>
      <w:proofErr w:type="spellEnd"/>
      <w:r w:rsidRPr="00C432BE">
        <w:rPr>
          <w:rFonts w:ascii="ArialMT" w:hAnsi="ArialMT" w:cs="ArialMT"/>
          <w:sz w:val="20"/>
        </w:rPr>
        <w:t xml:space="preserve">, R., Pickering, D., and Pollock, J. (2001). </w:t>
      </w:r>
      <w:r w:rsidRPr="00C432BE">
        <w:rPr>
          <w:rFonts w:ascii="Arial-ItalicMT" w:hAnsi="Arial-ItalicMT" w:cs="Arial-ItalicMT"/>
          <w:i/>
          <w:iCs/>
          <w:sz w:val="20"/>
        </w:rPr>
        <w:t>What Works in Schools:</w:t>
      </w:r>
    </w:p>
    <w:p w:rsidR="00674E33" w:rsidRPr="00C432BE" w:rsidRDefault="00674E33" w:rsidP="00674E33">
      <w:pPr>
        <w:autoSpaceDE w:val="0"/>
        <w:autoSpaceDN w:val="0"/>
        <w:adjustRightInd w:val="0"/>
        <w:rPr>
          <w:rFonts w:ascii="ArialMT" w:hAnsi="ArialMT" w:cs="ArialMT"/>
          <w:sz w:val="20"/>
        </w:rPr>
      </w:pPr>
      <w:proofErr w:type="gramStart"/>
      <w:r w:rsidRPr="00C432BE">
        <w:rPr>
          <w:rFonts w:ascii="Arial-ItalicMT" w:hAnsi="Arial-ItalicMT" w:cs="Arial-ItalicMT"/>
          <w:i/>
          <w:iCs/>
          <w:sz w:val="20"/>
        </w:rPr>
        <w:t>Translating Research into Action.</w:t>
      </w:r>
      <w:proofErr w:type="gramEnd"/>
      <w:r w:rsidRPr="00C432BE">
        <w:rPr>
          <w:rFonts w:ascii="Arial-ItalicMT" w:hAnsi="Arial-ItalicMT" w:cs="Arial-ItalicMT"/>
          <w:i/>
          <w:iCs/>
          <w:sz w:val="20"/>
        </w:rPr>
        <w:t xml:space="preserve"> </w:t>
      </w:r>
      <w:r w:rsidRPr="00C432BE">
        <w:rPr>
          <w:rFonts w:ascii="ArialMT" w:hAnsi="ArialMT" w:cs="ArialMT"/>
          <w:sz w:val="20"/>
        </w:rPr>
        <w:t>Alexandria, VA: ASCD.</w:t>
      </w:r>
    </w:p>
    <w:p w:rsidR="00674E33" w:rsidRPr="00C432BE" w:rsidRDefault="00674E33" w:rsidP="00674E33">
      <w:pPr>
        <w:autoSpaceDE w:val="0"/>
        <w:autoSpaceDN w:val="0"/>
        <w:adjustRightInd w:val="0"/>
        <w:rPr>
          <w:rFonts w:ascii="Arial-ItalicMT" w:hAnsi="Arial-ItalicMT" w:cs="Arial-ItalicMT"/>
          <w:i/>
          <w:iCs/>
          <w:sz w:val="20"/>
        </w:rPr>
      </w:pPr>
      <w:r w:rsidRPr="00C432BE">
        <w:rPr>
          <w:rFonts w:ascii="ArialMT" w:hAnsi="ArialMT" w:cs="ArialMT"/>
          <w:sz w:val="20"/>
        </w:rPr>
        <w:t xml:space="preserve">• </w:t>
      </w:r>
      <w:proofErr w:type="spellStart"/>
      <w:r w:rsidRPr="00C432BE">
        <w:rPr>
          <w:rFonts w:ascii="ArialMT" w:hAnsi="ArialMT" w:cs="ArialMT"/>
          <w:sz w:val="20"/>
        </w:rPr>
        <w:t>Moersch</w:t>
      </w:r>
      <w:proofErr w:type="spellEnd"/>
      <w:r w:rsidRPr="00C432BE">
        <w:rPr>
          <w:rFonts w:ascii="ArialMT" w:hAnsi="ArialMT" w:cs="ArialMT"/>
          <w:sz w:val="20"/>
        </w:rPr>
        <w:t xml:space="preserve">, C. (2002). </w:t>
      </w:r>
      <w:r w:rsidRPr="00C432BE">
        <w:rPr>
          <w:rFonts w:ascii="Arial-ItalicMT" w:hAnsi="Arial-ItalicMT" w:cs="Arial-ItalicMT"/>
          <w:i/>
          <w:iCs/>
          <w:sz w:val="20"/>
        </w:rPr>
        <w:t>Beyond Hardware: Using Existing Technology to Promote</w:t>
      </w:r>
    </w:p>
    <w:p w:rsidR="00674E33" w:rsidRPr="00C432BE" w:rsidRDefault="00674E33" w:rsidP="00674E33">
      <w:pPr>
        <w:autoSpaceDE w:val="0"/>
        <w:autoSpaceDN w:val="0"/>
        <w:adjustRightInd w:val="0"/>
        <w:rPr>
          <w:rFonts w:ascii="ArialMT" w:hAnsi="ArialMT" w:cs="ArialMT"/>
          <w:sz w:val="20"/>
        </w:rPr>
      </w:pPr>
      <w:proofErr w:type="gramStart"/>
      <w:r w:rsidRPr="00C432BE">
        <w:rPr>
          <w:rFonts w:ascii="Arial-ItalicMT" w:hAnsi="Arial-ItalicMT" w:cs="Arial-ItalicMT"/>
          <w:i/>
          <w:iCs/>
          <w:sz w:val="20"/>
        </w:rPr>
        <w:t>Higher-Level Thinking.</w:t>
      </w:r>
      <w:proofErr w:type="gramEnd"/>
      <w:r w:rsidRPr="00C432BE">
        <w:rPr>
          <w:rFonts w:ascii="Arial-ItalicMT" w:hAnsi="Arial-ItalicMT" w:cs="Arial-ItalicMT"/>
          <w:i/>
          <w:iCs/>
          <w:sz w:val="20"/>
        </w:rPr>
        <w:t xml:space="preserve"> </w:t>
      </w:r>
      <w:r w:rsidRPr="00C432BE">
        <w:rPr>
          <w:rFonts w:ascii="ArialMT" w:hAnsi="ArialMT" w:cs="ArialMT"/>
          <w:sz w:val="20"/>
        </w:rPr>
        <w:t>Eugene, OR: International Society for Technology in</w:t>
      </w:r>
    </w:p>
    <w:p w:rsidR="00674E33" w:rsidRPr="00C432BE" w:rsidRDefault="00674E33" w:rsidP="00674E33">
      <w:pPr>
        <w:autoSpaceDE w:val="0"/>
        <w:autoSpaceDN w:val="0"/>
        <w:adjustRightInd w:val="0"/>
        <w:rPr>
          <w:rFonts w:ascii="ArialMT" w:hAnsi="ArialMT" w:cs="ArialMT"/>
          <w:sz w:val="20"/>
        </w:rPr>
      </w:pPr>
      <w:proofErr w:type="gramStart"/>
      <w:r w:rsidRPr="00C432BE">
        <w:rPr>
          <w:rFonts w:ascii="ArialMT" w:hAnsi="ArialMT" w:cs="ArialMT"/>
          <w:sz w:val="20"/>
        </w:rPr>
        <w:t>Education.</w:t>
      </w:r>
      <w:proofErr w:type="gramEnd"/>
    </w:p>
    <w:p w:rsidR="00674E33" w:rsidRPr="00C432BE" w:rsidRDefault="00674E33" w:rsidP="00674E33">
      <w:pPr>
        <w:autoSpaceDE w:val="0"/>
        <w:autoSpaceDN w:val="0"/>
        <w:adjustRightInd w:val="0"/>
        <w:rPr>
          <w:rFonts w:ascii="Arial-ItalicMT" w:hAnsi="Arial-ItalicMT" w:cs="Arial-ItalicMT"/>
          <w:i/>
          <w:iCs/>
          <w:sz w:val="20"/>
        </w:rPr>
      </w:pPr>
      <w:r w:rsidRPr="00C432BE">
        <w:rPr>
          <w:rFonts w:ascii="ArialMT" w:hAnsi="ArialMT" w:cs="ArialMT"/>
          <w:sz w:val="20"/>
        </w:rPr>
        <w:t xml:space="preserve">• Partnership for 21st Century Skills. </w:t>
      </w:r>
      <w:proofErr w:type="gramStart"/>
      <w:r w:rsidRPr="00C432BE">
        <w:rPr>
          <w:rFonts w:ascii="ArialMT" w:hAnsi="ArialMT" w:cs="ArialMT"/>
          <w:sz w:val="20"/>
        </w:rPr>
        <w:t xml:space="preserve">(2004). </w:t>
      </w:r>
      <w:r w:rsidRPr="00C432BE">
        <w:rPr>
          <w:rFonts w:ascii="Arial-ItalicMT" w:hAnsi="Arial-ItalicMT" w:cs="Arial-ItalicMT"/>
          <w:i/>
          <w:iCs/>
          <w:sz w:val="20"/>
        </w:rPr>
        <w:t>Framework for 21st Century Learning.</w:t>
      </w:r>
      <w:proofErr w:type="gramEnd"/>
    </w:p>
    <w:p w:rsidR="00674E33" w:rsidRPr="00C432BE" w:rsidRDefault="00674E33" w:rsidP="00674E33">
      <w:pPr>
        <w:autoSpaceDE w:val="0"/>
        <w:autoSpaceDN w:val="0"/>
        <w:adjustRightInd w:val="0"/>
        <w:rPr>
          <w:rFonts w:ascii="ArialMT" w:hAnsi="ArialMT" w:cs="ArialMT"/>
          <w:sz w:val="20"/>
        </w:rPr>
      </w:pPr>
      <w:r w:rsidRPr="00C432BE">
        <w:rPr>
          <w:rFonts w:ascii="ArialMT" w:hAnsi="ArialMT" w:cs="ArialMT"/>
          <w:sz w:val="20"/>
        </w:rPr>
        <w:t>Retrieved from http://www.21stcenturyskills.org/index.php?option=com_content&amp;</w:t>
      </w:r>
    </w:p>
    <w:p w:rsidR="00977F42" w:rsidRPr="00C432BE" w:rsidRDefault="00674E33" w:rsidP="00674E33">
      <w:pPr>
        <w:rPr>
          <w:sz w:val="20"/>
        </w:rPr>
      </w:pPr>
      <w:proofErr w:type="gramStart"/>
      <w:r w:rsidRPr="00C432BE">
        <w:rPr>
          <w:rFonts w:ascii="ArialMT" w:hAnsi="ArialMT" w:cs="ArialMT"/>
          <w:sz w:val="20"/>
        </w:rPr>
        <w:t>task=</w:t>
      </w:r>
      <w:proofErr w:type="spellStart"/>
      <w:proofErr w:type="gramEnd"/>
      <w:r w:rsidRPr="00C432BE">
        <w:rPr>
          <w:rFonts w:ascii="ArialMT" w:hAnsi="ArialMT" w:cs="ArialMT"/>
          <w:sz w:val="20"/>
        </w:rPr>
        <w:t>view&amp;id</w:t>
      </w:r>
      <w:proofErr w:type="spellEnd"/>
      <w:r w:rsidRPr="00C432BE">
        <w:rPr>
          <w:rFonts w:ascii="ArialMT" w:hAnsi="ArialMT" w:cs="ArialMT"/>
          <w:sz w:val="20"/>
        </w:rPr>
        <w:t>=254&amp;Itemid=120</w:t>
      </w:r>
    </w:p>
    <w:sectPr w:rsidR="00977F42" w:rsidRPr="00C432BE" w:rsidSect="00C432B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4C8A" w:rsidRDefault="00234C8A" w:rsidP="00C432BE">
      <w:r>
        <w:separator/>
      </w:r>
    </w:p>
  </w:endnote>
  <w:endnote w:type="continuationSeparator" w:id="0">
    <w:p w:rsidR="00234C8A" w:rsidRDefault="00234C8A" w:rsidP="00C432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andelGothicBT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Italic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2BE" w:rsidRDefault="00C432B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2BE" w:rsidRDefault="00C432B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2BE" w:rsidRDefault="00C432B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4C8A" w:rsidRDefault="00234C8A" w:rsidP="00C432BE">
      <w:r>
        <w:separator/>
      </w:r>
    </w:p>
  </w:footnote>
  <w:footnote w:type="continuationSeparator" w:id="0">
    <w:p w:rsidR="00234C8A" w:rsidRDefault="00234C8A" w:rsidP="00C432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2BE" w:rsidRDefault="00C432B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2BE" w:rsidRDefault="00C432BE">
    <w:pPr>
      <w:pStyle w:val="Header"/>
    </w:pPr>
    <w:r>
      <w:t xml:space="preserve">Tech Coaches Meeting </w:t>
    </w:r>
    <w:r>
      <w:t>4-26-2011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2BE" w:rsidRDefault="00C432B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2F7EB8"/>
    <w:multiLevelType w:val="hybridMultilevel"/>
    <w:tmpl w:val="5DF616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4C442F"/>
    <w:multiLevelType w:val="hybridMultilevel"/>
    <w:tmpl w:val="E9BEBC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7F42"/>
    <w:rsid w:val="00234C8A"/>
    <w:rsid w:val="002678AA"/>
    <w:rsid w:val="003E7B25"/>
    <w:rsid w:val="005D0188"/>
    <w:rsid w:val="00674E33"/>
    <w:rsid w:val="006B505C"/>
    <w:rsid w:val="007B39DD"/>
    <w:rsid w:val="008543A0"/>
    <w:rsid w:val="00977F42"/>
    <w:rsid w:val="00B20617"/>
    <w:rsid w:val="00C43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B39D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32BE"/>
    <w:pPr>
      <w:ind w:left="720"/>
      <w:contextualSpacing/>
    </w:pPr>
  </w:style>
  <w:style w:type="paragraph" w:styleId="Header">
    <w:name w:val="header"/>
    <w:basedOn w:val="Normal"/>
    <w:link w:val="HeaderChar"/>
    <w:rsid w:val="00C432B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C432BE"/>
    <w:rPr>
      <w:sz w:val="24"/>
      <w:szCs w:val="24"/>
    </w:rPr>
  </w:style>
  <w:style w:type="paragraph" w:styleId="Footer">
    <w:name w:val="footer"/>
    <w:basedOn w:val="Normal"/>
    <w:link w:val="FooterChar"/>
    <w:rsid w:val="00C432B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C432B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Lipton</dc:creator>
  <cp:lastModifiedBy>roblip</cp:lastModifiedBy>
  <cp:revision>2</cp:revision>
  <dcterms:created xsi:type="dcterms:W3CDTF">2011-04-21T12:38:00Z</dcterms:created>
  <dcterms:modified xsi:type="dcterms:W3CDTF">2011-04-21T12:38:00Z</dcterms:modified>
</cp:coreProperties>
</file>